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E20" w:rsidRPr="00615F13" w:rsidRDefault="00940082" w:rsidP="00615F13">
      <w:pPr>
        <w:jc w:val="center"/>
        <w:rPr>
          <w:b/>
          <w:sz w:val="20"/>
          <w:szCs w:val="20"/>
        </w:rPr>
      </w:pPr>
      <w:r w:rsidRPr="00615F13">
        <w:rPr>
          <w:b/>
          <w:sz w:val="20"/>
          <w:szCs w:val="20"/>
        </w:rPr>
        <w:t>2023-2024 EĞİTİM ÖĞRETİM YILI BURSLULUK SINAVI BAŞVURU BİLGİLERİ</w:t>
      </w:r>
    </w:p>
    <w:p w:rsidR="00940082" w:rsidRPr="00615F13" w:rsidRDefault="00940082">
      <w:pPr>
        <w:rPr>
          <w:sz w:val="20"/>
          <w:szCs w:val="20"/>
        </w:rPr>
      </w:pPr>
      <w:r w:rsidRPr="00615F13">
        <w:rPr>
          <w:b/>
          <w:sz w:val="20"/>
          <w:szCs w:val="20"/>
        </w:rPr>
        <w:t>1.Başvuru Tarihi</w:t>
      </w:r>
      <w:r w:rsidRPr="00615F13">
        <w:rPr>
          <w:sz w:val="20"/>
          <w:szCs w:val="20"/>
        </w:rPr>
        <w:t xml:space="preserve">: </w:t>
      </w:r>
      <w:r w:rsidRPr="00615F13">
        <w:rPr>
          <w:sz w:val="20"/>
          <w:szCs w:val="20"/>
          <w:u w:val="single"/>
        </w:rPr>
        <w:t>13 Şubat-1 Mart 2024</w:t>
      </w:r>
      <w:proofErr w:type="gramStart"/>
      <w:r w:rsidRPr="00615F13">
        <w:rPr>
          <w:sz w:val="20"/>
          <w:szCs w:val="20"/>
        </w:rPr>
        <w:t>(</w:t>
      </w:r>
      <w:proofErr w:type="gramEnd"/>
      <w:r w:rsidRPr="00615F13">
        <w:rPr>
          <w:sz w:val="20"/>
          <w:szCs w:val="20"/>
        </w:rPr>
        <w:t xml:space="preserve">Son başvuru </w:t>
      </w:r>
      <w:proofErr w:type="spellStart"/>
      <w:r w:rsidRPr="00615F13">
        <w:rPr>
          <w:sz w:val="20"/>
          <w:szCs w:val="20"/>
        </w:rPr>
        <w:t>turahinden</w:t>
      </w:r>
      <w:proofErr w:type="spellEnd"/>
      <w:r w:rsidRPr="00615F13">
        <w:rPr>
          <w:sz w:val="20"/>
          <w:szCs w:val="20"/>
        </w:rPr>
        <w:t xml:space="preserve"> itibaren getirilen evraklar kabul edilmeyecektir.</w:t>
      </w:r>
    </w:p>
    <w:p w:rsidR="00940082" w:rsidRPr="00615F13" w:rsidRDefault="00940082">
      <w:pPr>
        <w:rPr>
          <w:sz w:val="20"/>
          <w:szCs w:val="20"/>
        </w:rPr>
      </w:pPr>
      <w:r w:rsidRPr="00615F13">
        <w:rPr>
          <w:b/>
          <w:sz w:val="20"/>
          <w:szCs w:val="20"/>
        </w:rPr>
        <w:t xml:space="preserve">2.Sınav </w:t>
      </w:r>
      <w:proofErr w:type="gramStart"/>
      <w:r w:rsidRPr="00615F13">
        <w:rPr>
          <w:b/>
          <w:sz w:val="20"/>
          <w:szCs w:val="20"/>
        </w:rPr>
        <w:t>Tarihi</w:t>
      </w:r>
      <w:r w:rsidRPr="00615F13">
        <w:rPr>
          <w:sz w:val="20"/>
          <w:szCs w:val="20"/>
        </w:rPr>
        <w:t xml:space="preserve"> :</w:t>
      </w:r>
      <w:r w:rsidRPr="00615F13">
        <w:rPr>
          <w:sz w:val="20"/>
          <w:szCs w:val="20"/>
          <w:u w:val="single"/>
        </w:rPr>
        <w:t>21</w:t>
      </w:r>
      <w:proofErr w:type="gramEnd"/>
      <w:r w:rsidRPr="00615F13">
        <w:rPr>
          <w:sz w:val="20"/>
          <w:szCs w:val="20"/>
          <w:u w:val="single"/>
        </w:rPr>
        <w:t xml:space="preserve"> Nisan 2024 Pazar</w:t>
      </w:r>
      <w:r w:rsidRPr="00615F13">
        <w:rPr>
          <w:sz w:val="20"/>
          <w:szCs w:val="20"/>
        </w:rPr>
        <w:t xml:space="preserve"> Günü Saat:10:00(Giriş Belgeleri sınava bir hafta kala </w:t>
      </w:r>
      <w:hyperlink r:id="rId6" w:history="1">
        <w:r w:rsidRPr="00615F13">
          <w:rPr>
            <w:rStyle w:val="Kpr"/>
            <w:sz w:val="20"/>
            <w:szCs w:val="20"/>
          </w:rPr>
          <w:t>www.meb.gov.tr</w:t>
        </w:r>
      </w:hyperlink>
      <w:r w:rsidRPr="00615F13">
        <w:rPr>
          <w:sz w:val="20"/>
          <w:szCs w:val="20"/>
        </w:rPr>
        <w:t xml:space="preserve"> adresinden </w:t>
      </w:r>
      <w:proofErr w:type="spellStart"/>
      <w:r w:rsidRPr="00615F13">
        <w:rPr>
          <w:sz w:val="20"/>
          <w:szCs w:val="20"/>
        </w:rPr>
        <w:t>yayanlanacaktır</w:t>
      </w:r>
      <w:proofErr w:type="spellEnd"/>
      <w:r w:rsidRPr="00615F13">
        <w:rPr>
          <w:sz w:val="20"/>
          <w:szCs w:val="20"/>
        </w:rPr>
        <w:t>.)</w:t>
      </w:r>
    </w:p>
    <w:p w:rsidR="00940082" w:rsidRPr="00615F13" w:rsidRDefault="00940082">
      <w:pPr>
        <w:rPr>
          <w:sz w:val="20"/>
          <w:szCs w:val="20"/>
        </w:rPr>
      </w:pPr>
      <w:r w:rsidRPr="00615F13">
        <w:rPr>
          <w:b/>
          <w:sz w:val="20"/>
          <w:szCs w:val="20"/>
        </w:rPr>
        <w:t>3.</w:t>
      </w:r>
      <w:r w:rsidR="00916936" w:rsidRPr="00615F13">
        <w:rPr>
          <w:b/>
          <w:sz w:val="20"/>
          <w:szCs w:val="20"/>
        </w:rPr>
        <w:t>Sonuçların İlanı</w:t>
      </w:r>
      <w:r w:rsidR="00916936" w:rsidRPr="00615F13">
        <w:rPr>
          <w:sz w:val="20"/>
          <w:szCs w:val="20"/>
        </w:rPr>
        <w:t xml:space="preserve">:17 Mayıs 2024 tarihinde </w:t>
      </w:r>
      <w:hyperlink r:id="rId7" w:history="1">
        <w:r w:rsidR="00916936" w:rsidRPr="00615F13">
          <w:rPr>
            <w:rStyle w:val="Kpr"/>
            <w:sz w:val="20"/>
            <w:szCs w:val="20"/>
          </w:rPr>
          <w:t>www.meb.gov.tr</w:t>
        </w:r>
      </w:hyperlink>
      <w:r w:rsidR="00916936" w:rsidRPr="00615F13">
        <w:rPr>
          <w:sz w:val="20"/>
          <w:szCs w:val="20"/>
        </w:rPr>
        <w:t xml:space="preserve"> adresinde ilan edilecektir.</w:t>
      </w:r>
    </w:p>
    <w:p w:rsidR="00916936" w:rsidRPr="00615F13" w:rsidRDefault="00916936">
      <w:pPr>
        <w:rPr>
          <w:sz w:val="20"/>
          <w:szCs w:val="20"/>
        </w:rPr>
      </w:pPr>
      <w:r w:rsidRPr="00615F13">
        <w:rPr>
          <w:b/>
          <w:sz w:val="20"/>
          <w:szCs w:val="20"/>
        </w:rPr>
        <w:t>4. Başvuru Süreci</w:t>
      </w:r>
      <w:r w:rsidRPr="00615F13">
        <w:rPr>
          <w:sz w:val="20"/>
          <w:szCs w:val="20"/>
        </w:rPr>
        <w:t xml:space="preserve">: Başvuru evrakları </w:t>
      </w:r>
      <w:r w:rsidRPr="00615F13">
        <w:rPr>
          <w:b/>
          <w:sz w:val="20"/>
          <w:szCs w:val="20"/>
        </w:rPr>
        <w:t>öğrenci velisi</w:t>
      </w:r>
      <w:r w:rsidRPr="00615F13">
        <w:rPr>
          <w:sz w:val="20"/>
          <w:szCs w:val="20"/>
        </w:rPr>
        <w:t xml:space="preserve"> tarafından bizzat teslim </w:t>
      </w:r>
      <w:proofErr w:type="spellStart"/>
      <w:proofErr w:type="gramStart"/>
      <w:r w:rsidRPr="00615F13">
        <w:rPr>
          <w:sz w:val="20"/>
          <w:szCs w:val="20"/>
        </w:rPr>
        <w:t>edilecektir.Başvuru</w:t>
      </w:r>
      <w:proofErr w:type="spellEnd"/>
      <w:proofErr w:type="gramEnd"/>
      <w:r w:rsidRPr="00615F13">
        <w:rPr>
          <w:sz w:val="20"/>
          <w:szCs w:val="20"/>
        </w:rPr>
        <w:t xml:space="preserve"> sırasında 2023 yılının tamamına ait gelir belgelerinin sunulması gerekmektedir.</w:t>
      </w:r>
      <w:r w:rsidRPr="00615F13">
        <w:rPr>
          <w:sz w:val="20"/>
          <w:szCs w:val="20"/>
        </w:rPr>
        <w:tab/>
        <w:t>Asli sureti olmayan, imzasız-</w:t>
      </w:r>
      <w:proofErr w:type="gramStart"/>
      <w:r w:rsidRPr="00615F13">
        <w:rPr>
          <w:sz w:val="20"/>
          <w:szCs w:val="20"/>
        </w:rPr>
        <w:t xml:space="preserve">mühürsüz , </w:t>
      </w:r>
      <w:proofErr w:type="spellStart"/>
      <w:r w:rsidRPr="00615F13">
        <w:rPr>
          <w:sz w:val="20"/>
          <w:szCs w:val="20"/>
        </w:rPr>
        <w:t>barkotsuz</w:t>
      </w:r>
      <w:proofErr w:type="spellEnd"/>
      <w:proofErr w:type="gramEnd"/>
      <w:r w:rsidRPr="00615F13">
        <w:rPr>
          <w:sz w:val="20"/>
          <w:szCs w:val="20"/>
        </w:rPr>
        <w:t xml:space="preserve"> gelir belgeleriyle yapılan başvurular kabul edilmeyecektir.</w:t>
      </w:r>
    </w:p>
    <w:p w:rsidR="00916936" w:rsidRPr="00615F13" w:rsidRDefault="00916936" w:rsidP="00615F13">
      <w:pPr>
        <w:jc w:val="center"/>
        <w:rPr>
          <w:b/>
          <w:sz w:val="20"/>
          <w:szCs w:val="20"/>
        </w:rPr>
      </w:pPr>
      <w:r w:rsidRPr="00615F13">
        <w:rPr>
          <w:b/>
          <w:sz w:val="20"/>
          <w:szCs w:val="20"/>
        </w:rPr>
        <w:t>SINAV KONULARI</w:t>
      </w:r>
    </w:p>
    <w:tbl>
      <w:tblPr>
        <w:tblStyle w:val="TableNormal"/>
        <w:tblW w:w="0" w:type="auto"/>
        <w:tblInd w:w="1448" w:type="dxa"/>
        <w:tblBorders>
          <w:top w:val="single" w:sz="12" w:space="0" w:color="001F5F"/>
          <w:left w:val="single" w:sz="12" w:space="0" w:color="001F5F"/>
          <w:bottom w:val="single" w:sz="12" w:space="0" w:color="001F5F"/>
          <w:right w:val="single" w:sz="12" w:space="0" w:color="001F5F"/>
          <w:insideH w:val="single" w:sz="12" w:space="0" w:color="001F5F"/>
          <w:insideV w:val="single" w:sz="12" w:space="0" w:color="001F5F"/>
        </w:tblBorders>
        <w:tblLayout w:type="fixed"/>
        <w:tblLook w:val="01E0" w:firstRow="1" w:lastRow="1" w:firstColumn="1" w:lastColumn="1" w:noHBand="0" w:noVBand="0"/>
      </w:tblPr>
      <w:tblGrid>
        <w:gridCol w:w="1047"/>
        <w:gridCol w:w="3545"/>
        <w:gridCol w:w="2127"/>
      </w:tblGrid>
      <w:tr w:rsidR="0080411B" w:rsidRPr="00615F13" w:rsidTr="0080411B">
        <w:trPr>
          <w:trHeight w:val="334"/>
        </w:trPr>
        <w:tc>
          <w:tcPr>
            <w:tcW w:w="6719" w:type="dxa"/>
            <w:gridSpan w:val="3"/>
            <w:tcBorders>
              <w:top w:val="single" w:sz="12" w:space="0" w:color="001F5F"/>
              <w:left w:val="single" w:sz="12" w:space="0" w:color="001F5F"/>
              <w:bottom w:val="single" w:sz="12" w:space="0" w:color="001F5F"/>
              <w:right w:val="single" w:sz="12" w:space="0" w:color="001F5F"/>
            </w:tcBorders>
            <w:shd w:val="clear" w:color="auto" w:fill="FFE499"/>
            <w:hideMark/>
          </w:tcPr>
          <w:p w:rsidR="0080411B" w:rsidRPr="00615F13" w:rsidRDefault="0080411B" w:rsidP="0080411B">
            <w:pPr>
              <w:pStyle w:val="TableParagraph"/>
              <w:spacing w:before="1"/>
              <w:ind w:left="2313" w:right="2289"/>
              <w:jc w:val="center"/>
              <w:rPr>
                <w:b/>
                <w:sz w:val="20"/>
                <w:szCs w:val="20"/>
              </w:rPr>
            </w:pPr>
            <w:r w:rsidRPr="00615F13">
              <w:rPr>
                <w:b/>
                <w:sz w:val="20"/>
                <w:szCs w:val="20"/>
              </w:rPr>
              <w:t>5, 6</w:t>
            </w:r>
            <w:r w:rsidRPr="00615F13">
              <w:rPr>
                <w:b/>
                <w:sz w:val="20"/>
                <w:szCs w:val="20"/>
              </w:rPr>
              <w:t>,</w:t>
            </w:r>
            <w:r w:rsidRPr="00615F13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615F13">
              <w:rPr>
                <w:b/>
                <w:sz w:val="20"/>
                <w:szCs w:val="20"/>
              </w:rPr>
              <w:t>7</w:t>
            </w:r>
            <w:r w:rsidRPr="00615F1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5F13">
              <w:rPr>
                <w:b/>
                <w:sz w:val="20"/>
                <w:szCs w:val="20"/>
              </w:rPr>
              <w:t>ve</w:t>
            </w:r>
            <w:proofErr w:type="spellEnd"/>
            <w:r w:rsidRPr="00615F13">
              <w:rPr>
                <w:b/>
                <w:sz w:val="20"/>
                <w:szCs w:val="20"/>
              </w:rPr>
              <w:t xml:space="preserve"> 8.</w:t>
            </w:r>
            <w:r w:rsidRPr="00615F1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5F13">
              <w:rPr>
                <w:b/>
                <w:sz w:val="20"/>
                <w:szCs w:val="20"/>
              </w:rPr>
              <w:t>Sınıflar</w:t>
            </w:r>
            <w:proofErr w:type="spellEnd"/>
          </w:p>
        </w:tc>
      </w:tr>
      <w:tr w:rsidR="0080411B" w:rsidRPr="00615F13" w:rsidTr="0080411B">
        <w:trPr>
          <w:trHeight w:val="274"/>
        </w:trPr>
        <w:tc>
          <w:tcPr>
            <w:tcW w:w="1047" w:type="dxa"/>
            <w:tcBorders>
              <w:top w:val="single" w:sz="12" w:space="0" w:color="001F5F"/>
              <w:left w:val="single" w:sz="12" w:space="0" w:color="001F5F"/>
              <w:bottom w:val="single" w:sz="12" w:space="0" w:color="001F5F"/>
              <w:right w:val="single" w:sz="12" w:space="0" w:color="001F5F"/>
            </w:tcBorders>
            <w:shd w:val="clear" w:color="auto" w:fill="C5DFB3"/>
            <w:hideMark/>
          </w:tcPr>
          <w:p w:rsidR="0080411B" w:rsidRPr="00615F13" w:rsidRDefault="0080411B">
            <w:pPr>
              <w:pStyle w:val="TableParagraph"/>
              <w:spacing w:line="255" w:lineRule="exact"/>
              <w:ind w:left="111" w:right="86"/>
              <w:jc w:val="center"/>
              <w:rPr>
                <w:b/>
                <w:sz w:val="20"/>
                <w:szCs w:val="20"/>
              </w:rPr>
            </w:pPr>
            <w:proofErr w:type="spellStart"/>
            <w:r w:rsidRPr="00615F13">
              <w:rPr>
                <w:b/>
                <w:sz w:val="20"/>
                <w:szCs w:val="20"/>
              </w:rPr>
              <w:t>Sıra</w:t>
            </w:r>
            <w:proofErr w:type="spellEnd"/>
            <w:r w:rsidRPr="00615F13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615F13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3545" w:type="dxa"/>
            <w:tcBorders>
              <w:top w:val="single" w:sz="12" w:space="0" w:color="001F5F"/>
              <w:left w:val="single" w:sz="12" w:space="0" w:color="001F5F"/>
              <w:bottom w:val="single" w:sz="12" w:space="0" w:color="001F5F"/>
              <w:right w:val="single" w:sz="12" w:space="0" w:color="001F5F"/>
            </w:tcBorders>
            <w:shd w:val="clear" w:color="auto" w:fill="C5DFB3"/>
            <w:hideMark/>
          </w:tcPr>
          <w:p w:rsidR="0080411B" w:rsidRPr="00615F13" w:rsidRDefault="0080411B">
            <w:pPr>
              <w:pStyle w:val="TableParagraph"/>
              <w:spacing w:line="255" w:lineRule="exact"/>
              <w:rPr>
                <w:b/>
                <w:sz w:val="20"/>
                <w:szCs w:val="20"/>
              </w:rPr>
            </w:pPr>
            <w:proofErr w:type="spellStart"/>
            <w:r w:rsidRPr="00615F13">
              <w:rPr>
                <w:b/>
                <w:sz w:val="20"/>
                <w:szCs w:val="20"/>
              </w:rPr>
              <w:t>Ders</w:t>
            </w:r>
            <w:proofErr w:type="spellEnd"/>
            <w:r w:rsidRPr="00615F13">
              <w:rPr>
                <w:b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615F13">
              <w:rPr>
                <w:b/>
                <w:sz w:val="20"/>
                <w:szCs w:val="20"/>
              </w:rPr>
              <w:t>Adı</w:t>
            </w:r>
            <w:proofErr w:type="spellEnd"/>
          </w:p>
        </w:tc>
        <w:tc>
          <w:tcPr>
            <w:tcW w:w="2127" w:type="dxa"/>
            <w:tcBorders>
              <w:top w:val="single" w:sz="12" w:space="0" w:color="001F5F"/>
              <w:left w:val="single" w:sz="12" w:space="0" w:color="001F5F"/>
              <w:bottom w:val="single" w:sz="12" w:space="0" w:color="001F5F"/>
              <w:right w:val="single" w:sz="12" w:space="0" w:color="001F5F"/>
            </w:tcBorders>
            <w:shd w:val="clear" w:color="auto" w:fill="C5DFB3"/>
            <w:hideMark/>
          </w:tcPr>
          <w:p w:rsidR="0080411B" w:rsidRPr="00615F13" w:rsidRDefault="0080411B">
            <w:pPr>
              <w:pStyle w:val="TableParagraph"/>
              <w:spacing w:line="255" w:lineRule="exact"/>
              <w:ind w:left="460" w:right="439"/>
              <w:jc w:val="center"/>
              <w:rPr>
                <w:b/>
                <w:sz w:val="20"/>
                <w:szCs w:val="20"/>
              </w:rPr>
            </w:pPr>
            <w:proofErr w:type="spellStart"/>
            <w:r w:rsidRPr="00615F13">
              <w:rPr>
                <w:b/>
                <w:sz w:val="20"/>
                <w:szCs w:val="20"/>
              </w:rPr>
              <w:t>Soru</w:t>
            </w:r>
            <w:proofErr w:type="spellEnd"/>
            <w:r w:rsidRPr="00615F13">
              <w:rPr>
                <w:b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615F13">
              <w:rPr>
                <w:b/>
                <w:sz w:val="20"/>
                <w:szCs w:val="20"/>
              </w:rPr>
              <w:t>Sayısı</w:t>
            </w:r>
            <w:proofErr w:type="spellEnd"/>
          </w:p>
        </w:tc>
      </w:tr>
      <w:tr w:rsidR="0080411B" w:rsidRPr="00615F13" w:rsidTr="0080411B">
        <w:trPr>
          <w:trHeight w:val="277"/>
        </w:trPr>
        <w:tc>
          <w:tcPr>
            <w:tcW w:w="1047" w:type="dxa"/>
            <w:tcBorders>
              <w:top w:val="single" w:sz="12" w:space="0" w:color="001F5F"/>
              <w:left w:val="single" w:sz="12" w:space="0" w:color="001F5F"/>
              <w:bottom w:val="single" w:sz="12" w:space="0" w:color="001F5F"/>
              <w:right w:val="single" w:sz="12" w:space="0" w:color="001F5F"/>
            </w:tcBorders>
            <w:hideMark/>
          </w:tcPr>
          <w:p w:rsidR="0080411B" w:rsidRPr="00615F13" w:rsidRDefault="0080411B">
            <w:pPr>
              <w:pStyle w:val="TableParagraph"/>
              <w:spacing w:line="258" w:lineRule="exact"/>
              <w:ind w:left="28"/>
              <w:jc w:val="center"/>
              <w:rPr>
                <w:sz w:val="20"/>
                <w:szCs w:val="20"/>
              </w:rPr>
            </w:pPr>
            <w:r w:rsidRPr="00615F13">
              <w:rPr>
                <w:sz w:val="20"/>
                <w:szCs w:val="20"/>
              </w:rPr>
              <w:t>1</w:t>
            </w:r>
          </w:p>
        </w:tc>
        <w:tc>
          <w:tcPr>
            <w:tcW w:w="3545" w:type="dxa"/>
            <w:tcBorders>
              <w:top w:val="single" w:sz="12" w:space="0" w:color="001F5F"/>
              <w:left w:val="single" w:sz="12" w:space="0" w:color="001F5F"/>
              <w:bottom w:val="single" w:sz="12" w:space="0" w:color="001F5F"/>
              <w:right w:val="single" w:sz="12" w:space="0" w:color="001F5F"/>
            </w:tcBorders>
            <w:hideMark/>
          </w:tcPr>
          <w:p w:rsidR="0080411B" w:rsidRPr="00615F13" w:rsidRDefault="0080411B">
            <w:pPr>
              <w:pStyle w:val="TableParagraph"/>
              <w:spacing w:line="258" w:lineRule="exact"/>
              <w:rPr>
                <w:sz w:val="20"/>
                <w:szCs w:val="20"/>
              </w:rPr>
            </w:pPr>
            <w:proofErr w:type="spellStart"/>
            <w:r w:rsidRPr="00615F13">
              <w:rPr>
                <w:sz w:val="20"/>
                <w:szCs w:val="20"/>
              </w:rPr>
              <w:t>Türkçe</w:t>
            </w:r>
            <w:proofErr w:type="spellEnd"/>
          </w:p>
        </w:tc>
        <w:tc>
          <w:tcPr>
            <w:tcW w:w="2127" w:type="dxa"/>
            <w:tcBorders>
              <w:top w:val="single" w:sz="12" w:space="0" w:color="001F5F"/>
              <w:left w:val="single" w:sz="12" w:space="0" w:color="001F5F"/>
              <w:bottom w:val="single" w:sz="12" w:space="0" w:color="001F5F"/>
              <w:right w:val="single" w:sz="12" w:space="0" w:color="001F5F"/>
            </w:tcBorders>
            <w:hideMark/>
          </w:tcPr>
          <w:p w:rsidR="0080411B" w:rsidRPr="00615F13" w:rsidRDefault="0080411B">
            <w:pPr>
              <w:pStyle w:val="TableParagraph"/>
              <w:spacing w:line="258" w:lineRule="exact"/>
              <w:ind w:left="462" w:right="439"/>
              <w:jc w:val="center"/>
              <w:rPr>
                <w:sz w:val="20"/>
                <w:szCs w:val="20"/>
              </w:rPr>
            </w:pPr>
            <w:r w:rsidRPr="00615F13">
              <w:rPr>
                <w:sz w:val="20"/>
                <w:szCs w:val="20"/>
              </w:rPr>
              <w:t>20</w:t>
            </w:r>
          </w:p>
        </w:tc>
      </w:tr>
      <w:tr w:rsidR="0080411B" w:rsidRPr="00615F13" w:rsidTr="0080411B">
        <w:trPr>
          <w:trHeight w:val="274"/>
        </w:trPr>
        <w:tc>
          <w:tcPr>
            <w:tcW w:w="1047" w:type="dxa"/>
            <w:tcBorders>
              <w:top w:val="single" w:sz="12" w:space="0" w:color="001F5F"/>
              <w:left w:val="single" w:sz="12" w:space="0" w:color="001F5F"/>
              <w:bottom w:val="single" w:sz="12" w:space="0" w:color="001F5F"/>
              <w:right w:val="single" w:sz="12" w:space="0" w:color="001F5F"/>
            </w:tcBorders>
            <w:hideMark/>
          </w:tcPr>
          <w:p w:rsidR="0080411B" w:rsidRPr="00615F13" w:rsidRDefault="0080411B">
            <w:pPr>
              <w:pStyle w:val="TableParagraph"/>
              <w:spacing w:line="255" w:lineRule="exact"/>
              <w:ind w:left="28"/>
              <w:jc w:val="center"/>
              <w:rPr>
                <w:sz w:val="20"/>
                <w:szCs w:val="20"/>
              </w:rPr>
            </w:pPr>
            <w:r w:rsidRPr="00615F13">
              <w:rPr>
                <w:sz w:val="20"/>
                <w:szCs w:val="20"/>
              </w:rPr>
              <w:t>2</w:t>
            </w:r>
          </w:p>
        </w:tc>
        <w:tc>
          <w:tcPr>
            <w:tcW w:w="3545" w:type="dxa"/>
            <w:tcBorders>
              <w:top w:val="single" w:sz="12" w:space="0" w:color="001F5F"/>
              <w:left w:val="single" w:sz="12" w:space="0" w:color="001F5F"/>
              <w:bottom w:val="single" w:sz="12" w:space="0" w:color="001F5F"/>
              <w:right w:val="single" w:sz="12" w:space="0" w:color="001F5F"/>
            </w:tcBorders>
            <w:hideMark/>
          </w:tcPr>
          <w:p w:rsidR="0080411B" w:rsidRPr="00615F13" w:rsidRDefault="0080411B">
            <w:pPr>
              <w:pStyle w:val="TableParagraph"/>
              <w:spacing w:line="255" w:lineRule="exact"/>
              <w:rPr>
                <w:sz w:val="20"/>
                <w:szCs w:val="20"/>
              </w:rPr>
            </w:pPr>
            <w:proofErr w:type="spellStart"/>
            <w:r w:rsidRPr="00615F13">
              <w:rPr>
                <w:sz w:val="20"/>
                <w:szCs w:val="20"/>
              </w:rPr>
              <w:t>Matematik</w:t>
            </w:r>
            <w:proofErr w:type="spellEnd"/>
          </w:p>
        </w:tc>
        <w:tc>
          <w:tcPr>
            <w:tcW w:w="2127" w:type="dxa"/>
            <w:tcBorders>
              <w:top w:val="single" w:sz="12" w:space="0" w:color="001F5F"/>
              <w:left w:val="single" w:sz="12" w:space="0" w:color="001F5F"/>
              <w:bottom w:val="single" w:sz="12" w:space="0" w:color="001F5F"/>
              <w:right w:val="single" w:sz="12" w:space="0" w:color="001F5F"/>
            </w:tcBorders>
            <w:hideMark/>
          </w:tcPr>
          <w:p w:rsidR="0080411B" w:rsidRPr="00615F13" w:rsidRDefault="0080411B">
            <w:pPr>
              <w:pStyle w:val="TableParagraph"/>
              <w:spacing w:line="255" w:lineRule="exact"/>
              <w:ind w:left="462" w:right="439"/>
              <w:jc w:val="center"/>
              <w:rPr>
                <w:sz w:val="20"/>
                <w:szCs w:val="20"/>
              </w:rPr>
            </w:pPr>
            <w:r w:rsidRPr="00615F13">
              <w:rPr>
                <w:sz w:val="20"/>
                <w:szCs w:val="20"/>
              </w:rPr>
              <w:t>20</w:t>
            </w:r>
          </w:p>
        </w:tc>
      </w:tr>
      <w:tr w:rsidR="0080411B" w:rsidRPr="00615F13" w:rsidTr="0080411B">
        <w:trPr>
          <w:trHeight w:val="277"/>
        </w:trPr>
        <w:tc>
          <w:tcPr>
            <w:tcW w:w="1047" w:type="dxa"/>
            <w:tcBorders>
              <w:top w:val="single" w:sz="12" w:space="0" w:color="001F5F"/>
              <w:left w:val="single" w:sz="12" w:space="0" w:color="001F5F"/>
              <w:bottom w:val="single" w:sz="12" w:space="0" w:color="001F5F"/>
              <w:right w:val="single" w:sz="12" w:space="0" w:color="001F5F"/>
            </w:tcBorders>
            <w:hideMark/>
          </w:tcPr>
          <w:p w:rsidR="0080411B" w:rsidRPr="00615F13" w:rsidRDefault="0080411B">
            <w:pPr>
              <w:pStyle w:val="TableParagraph"/>
              <w:spacing w:line="257" w:lineRule="exact"/>
              <w:ind w:left="28"/>
              <w:jc w:val="center"/>
              <w:rPr>
                <w:sz w:val="20"/>
                <w:szCs w:val="20"/>
              </w:rPr>
            </w:pPr>
            <w:r w:rsidRPr="00615F13">
              <w:rPr>
                <w:sz w:val="20"/>
                <w:szCs w:val="20"/>
              </w:rPr>
              <w:t>3</w:t>
            </w:r>
          </w:p>
        </w:tc>
        <w:tc>
          <w:tcPr>
            <w:tcW w:w="3545" w:type="dxa"/>
            <w:tcBorders>
              <w:top w:val="single" w:sz="12" w:space="0" w:color="001F5F"/>
              <w:left w:val="single" w:sz="12" w:space="0" w:color="001F5F"/>
              <w:bottom w:val="single" w:sz="12" w:space="0" w:color="001F5F"/>
              <w:right w:val="single" w:sz="12" w:space="0" w:color="001F5F"/>
            </w:tcBorders>
            <w:hideMark/>
          </w:tcPr>
          <w:p w:rsidR="0080411B" w:rsidRPr="00615F13" w:rsidRDefault="0080411B">
            <w:pPr>
              <w:pStyle w:val="TableParagraph"/>
              <w:spacing w:line="257" w:lineRule="exact"/>
              <w:rPr>
                <w:sz w:val="20"/>
                <w:szCs w:val="20"/>
              </w:rPr>
            </w:pPr>
            <w:r w:rsidRPr="00615F13">
              <w:rPr>
                <w:sz w:val="20"/>
                <w:szCs w:val="20"/>
              </w:rPr>
              <w:t>Fen</w:t>
            </w:r>
            <w:r w:rsidRPr="00615F13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615F13">
              <w:rPr>
                <w:sz w:val="20"/>
                <w:szCs w:val="20"/>
              </w:rPr>
              <w:t>Bilimleri</w:t>
            </w:r>
            <w:proofErr w:type="spellEnd"/>
          </w:p>
        </w:tc>
        <w:tc>
          <w:tcPr>
            <w:tcW w:w="2127" w:type="dxa"/>
            <w:tcBorders>
              <w:top w:val="single" w:sz="12" w:space="0" w:color="001F5F"/>
              <w:left w:val="single" w:sz="12" w:space="0" w:color="001F5F"/>
              <w:bottom w:val="single" w:sz="12" w:space="0" w:color="001F5F"/>
              <w:right w:val="single" w:sz="12" w:space="0" w:color="001F5F"/>
            </w:tcBorders>
            <w:hideMark/>
          </w:tcPr>
          <w:p w:rsidR="0080411B" w:rsidRPr="00615F13" w:rsidRDefault="0080411B">
            <w:pPr>
              <w:pStyle w:val="TableParagraph"/>
              <w:spacing w:line="257" w:lineRule="exact"/>
              <w:ind w:left="462" w:right="439"/>
              <w:jc w:val="center"/>
              <w:rPr>
                <w:sz w:val="20"/>
                <w:szCs w:val="20"/>
              </w:rPr>
            </w:pPr>
            <w:r w:rsidRPr="00615F13">
              <w:rPr>
                <w:sz w:val="20"/>
                <w:szCs w:val="20"/>
              </w:rPr>
              <w:t>20</w:t>
            </w:r>
          </w:p>
        </w:tc>
      </w:tr>
      <w:tr w:rsidR="0080411B" w:rsidRPr="00615F13" w:rsidTr="0080411B">
        <w:trPr>
          <w:trHeight w:val="553"/>
        </w:trPr>
        <w:tc>
          <w:tcPr>
            <w:tcW w:w="1047" w:type="dxa"/>
            <w:tcBorders>
              <w:top w:val="single" w:sz="12" w:space="0" w:color="001F5F"/>
              <w:left w:val="single" w:sz="12" w:space="0" w:color="001F5F"/>
              <w:bottom w:val="single" w:sz="12" w:space="0" w:color="001F5F"/>
              <w:right w:val="single" w:sz="12" w:space="0" w:color="001F5F"/>
            </w:tcBorders>
            <w:hideMark/>
          </w:tcPr>
          <w:p w:rsidR="0080411B" w:rsidRPr="00615F13" w:rsidRDefault="0080411B">
            <w:pPr>
              <w:pStyle w:val="TableParagraph"/>
              <w:spacing w:before="133"/>
              <w:ind w:left="28"/>
              <w:jc w:val="center"/>
              <w:rPr>
                <w:sz w:val="20"/>
                <w:szCs w:val="20"/>
              </w:rPr>
            </w:pPr>
            <w:r w:rsidRPr="00615F13">
              <w:rPr>
                <w:sz w:val="20"/>
                <w:szCs w:val="20"/>
              </w:rPr>
              <w:t>4</w:t>
            </w:r>
          </w:p>
        </w:tc>
        <w:tc>
          <w:tcPr>
            <w:tcW w:w="3545" w:type="dxa"/>
            <w:tcBorders>
              <w:top w:val="single" w:sz="12" w:space="0" w:color="001F5F"/>
              <w:left w:val="single" w:sz="12" w:space="0" w:color="001F5F"/>
              <w:bottom w:val="single" w:sz="12" w:space="0" w:color="001F5F"/>
              <w:right w:val="single" w:sz="12" w:space="0" w:color="001F5F"/>
            </w:tcBorders>
            <w:hideMark/>
          </w:tcPr>
          <w:p w:rsidR="0080411B" w:rsidRPr="00615F13" w:rsidRDefault="0080411B">
            <w:pPr>
              <w:pStyle w:val="TableParagraph"/>
              <w:spacing w:line="270" w:lineRule="exact"/>
              <w:rPr>
                <w:sz w:val="20"/>
                <w:szCs w:val="20"/>
              </w:rPr>
            </w:pPr>
            <w:proofErr w:type="spellStart"/>
            <w:r w:rsidRPr="00615F13">
              <w:rPr>
                <w:sz w:val="20"/>
                <w:szCs w:val="20"/>
              </w:rPr>
              <w:t>Sosyal</w:t>
            </w:r>
            <w:proofErr w:type="spellEnd"/>
            <w:r w:rsidRPr="00615F13">
              <w:rPr>
                <w:spacing w:val="4"/>
                <w:sz w:val="20"/>
                <w:szCs w:val="20"/>
              </w:rPr>
              <w:t xml:space="preserve"> </w:t>
            </w:r>
            <w:proofErr w:type="spellStart"/>
            <w:r w:rsidRPr="00615F13">
              <w:rPr>
                <w:sz w:val="20"/>
                <w:szCs w:val="20"/>
              </w:rPr>
              <w:t>Bilgiler</w:t>
            </w:r>
            <w:proofErr w:type="spellEnd"/>
            <w:r w:rsidRPr="00615F13">
              <w:rPr>
                <w:spacing w:val="2"/>
                <w:sz w:val="20"/>
                <w:szCs w:val="20"/>
              </w:rPr>
              <w:t xml:space="preserve"> </w:t>
            </w:r>
            <w:r w:rsidRPr="00615F13">
              <w:rPr>
                <w:sz w:val="20"/>
                <w:szCs w:val="20"/>
              </w:rPr>
              <w:t>(</w:t>
            </w:r>
            <w:proofErr w:type="spellStart"/>
            <w:r w:rsidRPr="00615F13">
              <w:rPr>
                <w:sz w:val="20"/>
                <w:szCs w:val="20"/>
              </w:rPr>
              <w:t>Sosyal</w:t>
            </w:r>
            <w:proofErr w:type="spellEnd"/>
            <w:r w:rsidRPr="00615F13">
              <w:rPr>
                <w:spacing w:val="5"/>
                <w:sz w:val="20"/>
                <w:szCs w:val="20"/>
              </w:rPr>
              <w:t xml:space="preserve"> </w:t>
            </w:r>
            <w:proofErr w:type="spellStart"/>
            <w:r w:rsidRPr="00615F13">
              <w:rPr>
                <w:sz w:val="20"/>
                <w:szCs w:val="20"/>
              </w:rPr>
              <w:t>Bilgiler</w:t>
            </w:r>
            <w:proofErr w:type="spellEnd"/>
            <w:r w:rsidRPr="00615F13">
              <w:rPr>
                <w:sz w:val="20"/>
                <w:szCs w:val="20"/>
              </w:rPr>
              <w:t xml:space="preserve"> </w:t>
            </w:r>
            <w:proofErr w:type="spellStart"/>
            <w:r w:rsidRPr="00615F13">
              <w:rPr>
                <w:sz w:val="20"/>
                <w:szCs w:val="20"/>
              </w:rPr>
              <w:t>ile</w:t>
            </w:r>
            <w:proofErr w:type="spellEnd"/>
          </w:p>
          <w:p w:rsidR="0080411B" w:rsidRPr="00615F13" w:rsidRDefault="0080411B">
            <w:pPr>
              <w:pStyle w:val="TableParagraph"/>
              <w:spacing w:line="263" w:lineRule="exact"/>
              <w:rPr>
                <w:sz w:val="20"/>
                <w:szCs w:val="20"/>
              </w:rPr>
            </w:pPr>
            <w:r w:rsidRPr="00615F13">
              <w:rPr>
                <w:sz w:val="20"/>
                <w:szCs w:val="20"/>
              </w:rPr>
              <w:t>Din</w:t>
            </w:r>
            <w:r w:rsidRPr="00615F13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615F13">
              <w:rPr>
                <w:sz w:val="20"/>
                <w:szCs w:val="20"/>
              </w:rPr>
              <w:t>Kültürü</w:t>
            </w:r>
            <w:proofErr w:type="spellEnd"/>
            <w:r w:rsidRPr="00615F13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615F13">
              <w:rPr>
                <w:sz w:val="20"/>
                <w:szCs w:val="20"/>
              </w:rPr>
              <w:t>ve</w:t>
            </w:r>
            <w:proofErr w:type="spellEnd"/>
            <w:r w:rsidRPr="00615F13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615F13">
              <w:rPr>
                <w:sz w:val="20"/>
                <w:szCs w:val="20"/>
              </w:rPr>
              <w:t>Ahlak</w:t>
            </w:r>
            <w:proofErr w:type="spellEnd"/>
            <w:r w:rsidRPr="00615F13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615F13">
              <w:rPr>
                <w:sz w:val="20"/>
                <w:szCs w:val="20"/>
              </w:rPr>
              <w:t>Bilgisi</w:t>
            </w:r>
            <w:proofErr w:type="spellEnd"/>
            <w:r w:rsidRPr="00615F13">
              <w:rPr>
                <w:sz w:val="20"/>
                <w:szCs w:val="20"/>
              </w:rPr>
              <w:t>)</w:t>
            </w:r>
          </w:p>
          <w:p w:rsidR="0080411B" w:rsidRPr="00615F13" w:rsidRDefault="0080411B" w:rsidP="0080411B">
            <w:pPr>
              <w:pStyle w:val="TableParagraph"/>
              <w:spacing w:line="263" w:lineRule="exact"/>
              <w:rPr>
                <w:sz w:val="20"/>
                <w:szCs w:val="20"/>
              </w:rPr>
            </w:pPr>
            <w:r w:rsidRPr="00615F13">
              <w:rPr>
                <w:sz w:val="20"/>
                <w:szCs w:val="20"/>
              </w:rPr>
              <w:t xml:space="preserve">T.C </w:t>
            </w:r>
            <w:proofErr w:type="spellStart"/>
            <w:r w:rsidRPr="00615F13">
              <w:rPr>
                <w:sz w:val="20"/>
                <w:szCs w:val="20"/>
              </w:rPr>
              <w:t>İnkılap</w:t>
            </w:r>
            <w:proofErr w:type="spellEnd"/>
            <w:r w:rsidRPr="00615F13">
              <w:rPr>
                <w:sz w:val="20"/>
                <w:szCs w:val="20"/>
              </w:rPr>
              <w:t xml:space="preserve"> </w:t>
            </w:r>
            <w:proofErr w:type="spellStart"/>
            <w:r w:rsidRPr="00615F13">
              <w:rPr>
                <w:sz w:val="20"/>
                <w:szCs w:val="20"/>
              </w:rPr>
              <w:t>Tarihi</w:t>
            </w:r>
            <w:proofErr w:type="spellEnd"/>
            <w:r w:rsidRPr="00615F13">
              <w:rPr>
                <w:sz w:val="20"/>
                <w:szCs w:val="20"/>
              </w:rPr>
              <w:t xml:space="preserve"> </w:t>
            </w:r>
            <w:proofErr w:type="spellStart"/>
            <w:r w:rsidRPr="00615F13">
              <w:rPr>
                <w:sz w:val="20"/>
                <w:szCs w:val="20"/>
              </w:rPr>
              <w:t>ve</w:t>
            </w:r>
            <w:proofErr w:type="spellEnd"/>
            <w:r w:rsidRPr="00615F13">
              <w:rPr>
                <w:sz w:val="20"/>
                <w:szCs w:val="20"/>
              </w:rPr>
              <w:t xml:space="preserve"> </w:t>
            </w:r>
            <w:proofErr w:type="spellStart"/>
            <w:r w:rsidRPr="00615F13">
              <w:rPr>
                <w:sz w:val="20"/>
                <w:szCs w:val="20"/>
              </w:rPr>
              <w:t>Atatürkçülük</w:t>
            </w:r>
            <w:proofErr w:type="spellEnd"/>
            <w:r w:rsidRPr="00615F13">
              <w:rPr>
                <w:sz w:val="20"/>
                <w:szCs w:val="20"/>
              </w:rPr>
              <w:t xml:space="preserve"> (8. </w:t>
            </w:r>
            <w:proofErr w:type="spellStart"/>
            <w:r w:rsidRPr="00615F13">
              <w:rPr>
                <w:sz w:val="20"/>
                <w:szCs w:val="20"/>
              </w:rPr>
              <w:t>Sınıf</w:t>
            </w:r>
            <w:proofErr w:type="spellEnd"/>
            <w:r w:rsidRPr="00615F13">
              <w:rPr>
                <w:sz w:val="20"/>
                <w:szCs w:val="20"/>
              </w:rPr>
              <w:t>)</w:t>
            </w:r>
          </w:p>
        </w:tc>
        <w:tc>
          <w:tcPr>
            <w:tcW w:w="2127" w:type="dxa"/>
            <w:tcBorders>
              <w:top w:val="single" w:sz="12" w:space="0" w:color="001F5F"/>
              <w:left w:val="single" w:sz="12" w:space="0" w:color="001F5F"/>
              <w:bottom w:val="single" w:sz="12" w:space="0" w:color="001F5F"/>
              <w:right w:val="single" w:sz="12" w:space="0" w:color="001F5F"/>
            </w:tcBorders>
            <w:hideMark/>
          </w:tcPr>
          <w:p w:rsidR="0080411B" w:rsidRPr="00615F13" w:rsidRDefault="0080411B">
            <w:pPr>
              <w:pStyle w:val="TableParagraph"/>
              <w:spacing w:before="133"/>
              <w:ind w:left="462" w:right="439"/>
              <w:jc w:val="center"/>
              <w:rPr>
                <w:sz w:val="20"/>
                <w:szCs w:val="20"/>
              </w:rPr>
            </w:pPr>
            <w:r w:rsidRPr="00615F13">
              <w:rPr>
                <w:sz w:val="20"/>
                <w:szCs w:val="20"/>
              </w:rPr>
              <w:t>20</w:t>
            </w:r>
          </w:p>
        </w:tc>
      </w:tr>
    </w:tbl>
    <w:p w:rsidR="00615F13" w:rsidRDefault="0080411B" w:rsidP="00615F13">
      <w:pPr>
        <w:rPr>
          <w:sz w:val="20"/>
          <w:szCs w:val="20"/>
        </w:rPr>
      </w:pPr>
      <w:r w:rsidRPr="00615F13">
        <w:rPr>
          <w:b/>
          <w:sz w:val="20"/>
          <w:szCs w:val="20"/>
        </w:rPr>
        <w:t>Not:</w:t>
      </w:r>
      <w:r w:rsidRPr="00615F13">
        <w:rPr>
          <w:sz w:val="20"/>
          <w:szCs w:val="20"/>
        </w:rPr>
        <w:t xml:space="preserve"> Özel Eğitime ihtiyacı olan veya engel durumu olan öğrencilere yönelik sınav tedbirleri alabilmesi için en geç 7 Mart 2024 Tarihine kadar RAM’</w:t>
      </w:r>
      <w:r w:rsidR="00615F13">
        <w:rPr>
          <w:sz w:val="20"/>
          <w:szCs w:val="20"/>
        </w:rPr>
        <w:t>a başvurulması gerekmektedir.</w:t>
      </w:r>
    </w:p>
    <w:p w:rsidR="0080411B" w:rsidRPr="00615F13" w:rsidRDefault="00615F13" w:rsidP="00615F13">
      <w:pPr>
        <w:jc w:val="center"/>
        <w:rPr>
          <w:b/>
          <w:sz w:val="20"/>
          <w:szCs w:val="20"/>
        </w:rPr>
      </w:pPr>
      <w:r w:rsidRPr="00615F13">
        <w:rPr>
          <w:b/>
          <w:sz w:val="20"/>
          <w:szCs w:val="20"/>
        </w:rPr>
        <w:t>BAŞVURU ŞARTLARI</w:t>
      </w:r>
    </w:p>
    <w:p w:rsidR="0080411B" w:rsidRPr="00615F13" w:rsidRDefault="0080411B" w:rsidP="00615F13">
      <w:pPr>
        <w:tabs>
          <w:tab w:val="left" w:pos="509"/>
          <w:tab w:val="left" w:pos="9781"/>
        </w:tabs>
        <w:ind w:left="258" w:right="828"/>
        <w:rPr>
          <w:sz w:val="20"/>
          <w:szCs w:val="20"/>
        </w:rPr>
      </w:pPr>
      <w:r w:rsidRPr="00615F13">
        <w:rPr>
          <w:b/>
          <w:sz w:val="20"/>
          <w:szCs w:val="20"/>
        </w:rPr>
        <w:t>1</w:t>
      </w:r>
      <w:r w:rsidRPr="00615F13">
        <w:rPr>
          <w:sz w:val="20"/>
          <w:szCs w:val="20"/>
        </w:rPr>
        <w:t>.</w:t>
      </w:r>
      <w:r w:rsidRPr="00615F13">
        <w:rPr>
          <w:sz w:val="20"/>
          <w:szCs w:val="20"/>
        </w:rPr>
        <w:t>Ailenin</w:t>
      </w:r>
      <w:r w:rsidRPr="00615F13">
        <w:rPr>
          <w:spacing w:val="-8"/>
          <w:sz w:val="20"/>
          <w:szCs w:val="20"/>
        </w:rPr>
        <w:t xml:space="preserve"> </w:t>
      </w:r>
      <w:r w:rsidRPr="00615F13">
        <w:rPr>
          <w:sz w:val="20"/>
          <w:szCs w:val="20"/>
        </w:rPr>
        <w:t>bir</w:t>
      </w:r>
      <w:r w:rsidRPr="00615F13">
        <w:rPr>
          <w:spacing w:val="-10"/>
          <w:sz w:val="20"/>
          <w:szCs w:val="20"/>
        </w:rPr>
        <w:t xml:space="preserve"> </w:t>
      </w:r>
      <w:r w:rsidRPr="00615F13">
        <w:rPr>
          <w:sz w:val="20"/>
          <w:szCs w:val="20"/>
        </w:rPr>
        <w:t>önceki</w:t>
      </w:r>
      <w:r w:rsidRPr="00615F13">
        <w:rPr>
          <w:spacing w:val="-7"/>
          <w:sz w:val="20"/>
          <w:szCs w:val="20"/>
        </w:rPr>
        <w:t xml:space="preserve"> </w:t>
      </w:r>
      <w:r w:rsidRPr="00615F13">
        <w:rPr>
          <w:sz w:val="20"/>
          <w:szCs w:val="20"/>
        </w:rPr>
        <w:t>mali</w:t>
      </w:r>
      <w:r w:rsidRPr="00615F13">
        <w:rPr>
          <w:spacing w:val="-4"/>
          <w:sz w:val="20"/>
          <w:szCs w:val="20"/>
        </w:rPr>
        <w:t xml:space="preserve"> </w:t>
      </w:r>
      <w:r w:rsidRPr="00615F13">
        <w:rPr>
          <w:sz w:val="20"/>
          <w:szCs w:val="20"/>
        </w:rPr>
        <w:t>yıla</w:t>
      </w:r>
      <w:r w:rsidRPr="00615F13">
        <w:rPr>
          <w:spacing w:val="-8"/>
          <w:sz w:val="20"/>
          <w:szCs w:val="20"/>
        </w:rPr>
        <w:t xml:space="preserve"> </w:t>
      </w:r>
      <w:r w:rsidRPr="00615F13">
        <w:rPr>
          <w:sz w:val="20"/>
          <w:szCs w:val="20"/>
        </w:rPr>
        <w:t>ait</w:t>
      </w:r>
      <w:r w:rsidRPr="00615F13">
        <w:rPr>
          <w:spacing w:val="-4"/>
          <w:sz w:val="20"/>
          <w:szCs w:val="20"/>
        </w:rPr>
        <w:t xml:space="preserve"> </w:t>
      </w:r>
      <w:r w:rsidRPr="00615F13">
        <w:rPr>
          <w:sz w:val="20"/>
          <w:szCs w:val="20"/>
        </w:rPr>
        <w:t>yıllık</w:t>
      </w:r>
      <w:r w:rsidRPr="00615F13">
        <w:rPr>
          <w:spacing w:val="-8"/>
          <w:sz w:val="20"/>
          <w:szCs w:val="20"/>
        </w:rPr>
        <w:t xml:space="preserve"> </w:t>
      </w:r>
      <w:r w:rsidRPr="00615F13">
        <w:rPr>
          <w:sz w:val="20"/>
          <w:szCs w:val="20"/>
        </w:rPr>
        <w:t>gelir</w:t>
      </w:r>
      <w:r w:rsidRPr="00615F13">
        <w:rPr>
          <w:spacing w:val="-8"/>
          <w:sz w:val="20"/>
          <w:szCs w:val="20"/>
        </w:rPr>
        <w:t xml:space="preserve"> </w:t>
      </w:r>
      <w:r w:rsidRPr="00615F13">
        <w:rPr>
          <w:sz w:val="20"/>
          <w:szCs w:val="20"/>
        </w:rPr>
        <w:t>toplamından</w:t>
      </w:r>
      <w:r w:rsidRPr="00615F13">
        <w:rPr>
          <w:spacing w:val="-7"/>
          <w:sz w:val="20"/>
          <w:szCs w:val="20"/>
        </w:rPr>
        <w:t xml:space="preserve"> </w:t>
      </w:r>
      <w:r w:rsidRPr="00615F13">
        <w:rPr>
          <w:sz w:val="20"/>
          <w:szCs w:val="20"/>
        </w:rPr>
        <w:t>fert</w:t>
      </w:r>
      <w:r w:rsidRPr="00615F13">
        <w:rPr>
          <w:spacing w:val="-8"/>
          <w:sz w:val="20"/>
          <w:szCs w:val="20"/>
        </w:rPr>
        <w:t xml:space="preserve"> </w:t>
      </w:r>
      <w:r w:rsidRPr="00615F13">
        <w:rPr>
          <w:sz w:val="20"/>
          <w:szCs w:val="20"/>
        </w:rPr>
        <w:t>başına</w:t>
      </w:r>
      <w:r w:rsidRPr="00615F13">
        <w:rPr>
          <w:spacing w:val="-8"/>
          <w:sz w:val="20"/>
          <w:szCs w:val="20"/>
        </w:rPr>
        <w:t xml:space="preserve"> </w:t>
      </w:r>
      <w:r w:rsidRPr="00615F13">
        <w:rPr>
          <w:sz w:val="20"/>
          <w:szCs w:val="20"/>
        </w:rPr>
        <w:t>düşen</w:t>
      </w:r>
      <w:r w:rsidRPr="00615F13">
        <w:rPr>
          <w:spacing w:val="-7"/>
          <w:sz w:val="20"/>
          <w:szCs w:val="20"/>
        </w:rPr>
        <w:t xml:space="preserve"> </w:t>
      </w:r>
      <w:r w:rsidRPr="00615F13">
        <w:rPr>
          <w:sz w:val="20"/>
          <w:szCs w:val="20"/>
        </w:rPr>
        <w:t>net</w:t>
      </w:r>
      <w:r w:rsidRPr="00615F13">
        <w:rPr>
          <w:spacing w:val="-7"/>
          <w:sz w:val="20"/>
          <w:szCs w:val="20"/>
        </w:rPr>
        <w:t xml:space="preserve"> </w:t>
      </w:r>
      <w:r w:rsidRPr="00615F13">
        <w:rPr>
          <w:sz w:val="20"/>
          <w:szCs w:val="20"/>
        </w:rPr>
        <w:t>miktarın,</w:t>
      </w:r>
      <w:r w:rsidRPr="00615F13">
        <w:rPr>
          <w:spacing w:val="-7"/>
          <w:sz w:val="20"/>
          <w:szCs w:val="20"/>
        </w:rPr>
        <w:t xml:space="preserve"> </w:t>
      </w:r>
      <w:r w:rsidRPr="00615F13">
        <w:rPr>
          <w:sz w:val="20"/>
          <w:szCs w:val="20"/>
        </w:rPr>
        <w:t>içinde</w:t>
      </w:r>
      <w:r w:rsidRPr="00615F13">
        <w:rPr>
          <w:spacing w:val="-58"/>
          <w:sz w:val="20"/>
          <w:szCs w:val="20"/>
        </w:rPr>
        <w:t xml:space="preserve"> </w:t>
      </w:r>
      <w:r w:rsidRPr="00615F13">
        <w:rPr>
          <w:sz w:val="20"/>
          <w:szCs w:val="20"/>
        </w:rPr>
        <w:t>bulunulan mali yılın Merkezî Yönetim Bütçe Kanunu’nda belirtilen Millî Eğitim Bakanlığı</w:t>
      </w:r>
      <w:r w:rsidRPr="00615F13">
        <w:rPr>
          <w:spacing w:val="1"/>
          <w:sz w:val="20"/>
          <w:szCs w:val="20"/>
        </w:rPr>
        <w:t xml:space="preserve"> </w:t>
      </w:r>
      <w:r w:rsidRPr="00615F13">
        <w:rPr>
          <w:sz w:val="20"/>
          <w:szCs w:val="20"/>
        </w:rPr>
        <w:t>okul pansiyon ücretinin en azının 4 (dört) katını geçmemesi kaydıyla maddi imkânlardan</w:t>
      </w:r>
      <w:r w:rsidRPr="00615F13">
        <w:rPr>
          <w:spacing w:val="1"/>
          <w:sz w:val="20"/>
          <w:szCs w:val="20"/>
        </w:rPr>
        <w:t xml:space="preserve"> </w:t>
      </w:r>
      <w:r w:rsidRPr="00615F13">
        <w:rPr>
          <w:sz w:val="20"/>
          <w:szCs w:val="20"/>
        </w:rPr>
        <w:t xml:space="preserve">yoksun bulunmak. Ailenin </w:t>
      </w:r>
      <w:r w:rsidRPr="00615F13">
        <w:rPr>
          <w:b/>
          <w:sz w:val="20"/>
          <w:szCs w:val="20"/>
        </w:rPr>
        <w:t>2023</w:t>
      </w:r>
      <w:r w:rsidRPr="00615F13">
        <w:rPr>
          <w:b/>
          <w:spacing w:val="1"/>
          <w:sz w:val="20"/>
          <w:szCs w:val="20"/>
        </w:rPr>
        <w:t xml:space="preserve"> </w:t>
      </w:r>
      <w:r w:rsidRPr="00615F13">
        <w:rPr>
          <w:sz w:val="20"/>
          <w:szCs w:val="20"/>
        </w:rPr>
        <w:t>senesi yıllık gelir toplamından fert başına düşen toplam</w:t>
      </w:r>
      <w:r w:rsidRPr="00615F13">
        <w:rPr>
          <w:spacing w:val="1"/>
          <w:sz w:val="20"/>
          <w:szCs w:val="20"/>
        </w:rPr>
        <w:t xml:space="preserve"> </w:t>
      </w:r>
      <w:r w:rsidRPr="00615F13">
        <w:rPr>
          <w:sz w:val="20"/>
          <w:szCs w:val="20"/>
        </w:rPr>
        <w:t xml:space="preserve">miktarın 2023 Mali Yılı için tespit edilen </w:t>
      </w:r>
      <w:r w:rsidRPr="00615F13">
        <w:rPr>
          <w:b/>
          <w:sz w:val="20"/>
          <w:szCs w:val="20"/>
        </w:rPr>
        <w:t>111.600,00 (</w:t>
      </w:r>
      <w:proofErr w:type="spellStart"/>
      <w:r w:rsidRPr="00615F13">
        <w:rPr>
          <w:b/>
          <w:sz w:val="20"/>
          <w:szCs w:val="20"/>
        </w:rPr>
        <w:t>yüzonbirbinaltıyüz</w:t>
      </w:r>
      <w:proofErr w:type="spellEnd"/>
      <w:r w:rsidRPr="00615F13">
        <w:rPr>
          <w:b/>
          <w:sz w:val="20"/>
          <w:szCs w:val="20"/>
        </w:rPr>
        <w:t xml:space="preserve">) TL’yi </w:t>
      </w:r>
      <w:r w:rsidRPr="00615F13">
        <w:rPr>
          <w:sz w:val="20"/>
          <w:szCs w:val="20"/>
        </w:rPr>
        <w:t>geçmemesi</w:t>
      </w:r>
      <w:r w:rsidRPr="00615F13">
        <w:rPr>
          <w:spacing w:val="-57"/>
          <w:sz w:val="20"/>
          <w:szCs w:val="20"/>
        </w:rPr>
        <w:t xml:space="preserve"> </w:t>
      </w:r>
      <w:r w:rsidRPr="00615F13">
        <w:rPr>
          <w:sz w:val="20"/>
          <w:szCs w:val="20"/>
        </w:rPr>
        <w:t>gerekir.</w:t>
      </w:r>
      <w:r w:rsidRPr="00615F13">
        <w:rPr>
          <w:spacing w:val="-7"/>
          <w:sz w:val="20"/>
          <w:szCs w:val="20"/>
        </w:rPr>
        <w:t xml:space="preserve"> </w:t>
      </w:r>
      <w:r w:rsidRPr="00615F13">
        <w:rPr>
          <w:sz w:val="20"/>
          <w:szCs w:val="20"/>
        </w:rPr>
        <w:t>Aile</w:t>
      </w:r>
      <w:r w:rsidRPr="00615F13">
        <w:rPr>
          <w:spacing w:val="-6"/>
          <w:sz w:val="20"/>
          <w:szCs w:val="20"/>
        </w:rPr>
        <w:t xml:space="preserve"> </w:t>
      </w:r>
      <w:r w:rsidRPr="00615F13">
        <w:rPr>
          <w:sz w:val="20"/>
          <w:szCs w:val="20"/>
        </w:rPr>
        <w:t>gelirinin</w:t>
      </w:r>
      <w:r w:rsidRPr="00615F13">
        <w:rPr>
          <w:spacing w:val="-7"/>
          <w:sz w:val="20"/>
          <w:szCs w:val="20"/>
        </w:rPr>
        <w:t xml:space="preserve"> </w:t>
      </w:r>
      <w:r w:rsidRPr="00615F13">
        <w:rPr>
          <w:sz w:val="20"/>
          <w:szCs w:val="20"/>
        </w:rPr>
        <w:t>tespitinde</w:t>
      </w:r>
      <w:r w:rsidRPr="00615F13">
        <w:rPr>
          <w:spacing w:val="-10"/>
          <w:sz w:val="20"/>
          <w:szCs w:val="20"/>
        </w:rPr>
        <w:t xml:space="preserve"> </w:t>
      </w:r>
      <w:r w:rsidRPr="00615F13">
        <w:rPr>
          <w:sz w:val="20"/>
          <w:szCs w:val="20"/>
        </w:rPr>
        <w:t>ailenin</w:t>
      </w:r>
      <w:r w:rsidRPr="00615F13">
        <w:rPr>
          <w:spacing w:val="-7"/>
          <w:sz w:val="20"/>
          <w:szCs w:val="20"/>
        </w:rPr>
        <w:t xml:space="preserve"> </w:t>
      </w:r>
      <w:r w:rsidRPr="00615F13">
        <w:rPr>
          <w:sz w:val="20"/>
          <w:szCs w:val="20"/>
        </w:rPr>
        <w:t>2023</w:t>
      </w:r>
      <w:r w:rsidRPr="00615F13">
        <w:rPr>
          <w:spacing w:val="-6"/>
          <w:sz w:val="20"/>
          <w:szCs w:val="20"/>
        </w:rPr>
        <w:t xml:space="preserve"> </w:t>
      </w:r>
      <w:r w:rsidRPr="00615F13">
        <w:rPr>
          <w:sz w:val="20"/>
          <w:szCs w:val="20"/>
        </w:rPr>
        <w:t>yılında</w:t>
      </w:r>
      <w:r w:rsidRPr="00615F13">
        <w:rPr>
          <w:spacing w:val="-6"/>
          <w:sz w:val="20"/>
          <w:szCs w:val="20"/>
        </w:rPr>
        <w:t xml:space="preserve"> </w:t>
      </w:r>
      <w:r w:rsidRPr="00615F13">
        <w:rPr>
          <w:sz w:val="20"/>
          <w:szCs w:val="20"/>
        </w:rPr>
        <w:t>elde</w:t>
      </w:r>
      <w:r w:rsidRPr="00615F13">
        <w:rPr>
          <w:spacing w:val="-6"/>
          <w:sz w:val="20"/>
          <w:szCs w:val="20"/>
        </w:rPr>
        <w:t xml:space="preserve"> </w:t>
      </w:r>
      <w:r w:rsidRPr="00615F13">
        <w:rPr>
          <w:sz w:val="20"/>
          <w:szCs w:val="20"/>
        </w:rPr>
        <w:t>ettiği</w:t>
      </w:r>
      <w:r w:rsidRPr="00615F13">
        <w:rPr>
          <w:spacing w:val="-8"/>
          <w:sz w:val="20"/>
          <w:szCs w:val="20"/>
        </w:rPr>
        <w:t xml:space="preserve"> </w:t>
      </w:r>
      <w:r w:rsidRPr="00615F13">
        <w:rPr>
          <w:sz w:val="20"/>
          <w:szCs w:val="20"/>
        </w:rPr>
        <w:t>tüm</w:t>
      </w:r>
      <w:r w:rsidRPr="00615F13">
        <w:rPr>
          <w:spacing w:val="-7"/>
          <w:sz w:val="20"/>
          <w:szCs w:val="20"/>
        </w:rPr>
        <w:t xml:space="preserve"> </w:t>
      </w:r>
      <w:r w:rsidRPr="00615F13">
        <w:rPr>
          <w:sz w:val="20"/>
          <w:szCs w:val="20"/>
        </w:rPr>
        <w:t>gelirleri</w:t>
      </w:r>
      <w:r w:rsidRPr="00615F13">
        <w:rPr>
          <w:spacing w:val="-6"/>
          <w:sz w:val="20"/>
          <w:szCs w:val="20"/>
        </w:rPr>
        <w:t xml:space="preserve"> </w:t>
      </w:r>
      <w:r w:rsidRPr="00615F13">
        <w:rPr>
          <w:sz w:val="20"/>
          <w:szCs w:val="20"/>
        </w:rPr>
        <w:t>esas</w:t>
      </w:r>
      <w:r w:rsidRPr="00615F13">
        <w:rPr>
          <w:spacing w:val="-8"/>
          <w:sz w:val="20"/>
          <w:szCs w:val="20"/>
        </w:rPr>
        <w:t xml:space="preserve"> </w:t>
      </w:r>
      <w:proofErr w:type="spellStart"/>
      <w:proofErr w:type="gramStart"/>
      <w:r w:rsidRPr="00615F13">
        <w:rPr>
          <w:sz w:val="20"/>
          <w:szCs w:val="20"/>
        </w:rPr>
        <w:t>alınacaktır.</w:t>
      </w:r>
      <w:r w:rsidRPr="00615F13">
        <w:rPr>
          <w:sz w:val="20"/>
          <w:szCs w:val="20"/>
        </w:rPr>
        <w:t>Bunun</w:t>
      </w:r>
      <w:proofErr w:type="spellEnd"/>
      <w:proofErr w:type="gramEnd"/>
      <w:r w:rsidRPr="00615F13">
        <w:rPr>
          <w:sz w:val="20"/>
          <w:szCs w:val="20"/>
        </w:rPr>
        <w:t xml:space="preserve"> için;</w:t>
      </w:r>
    </w:p>
    <w:p w:rsidR="0080411B" w:rsidRPr="00615F13" w:rsidRDefault="0080411B" w:rsidP="0080411B">
      <w:pPr>
        <w:tabs>
          <w:tab w:val="left" w:pos="509"/>
        </w:tabs>
        <w:ind w:left="258" w:right="828"/>
        <w:rPr>
          <w:sz w:val="20"/>
          <w:szCs w:val="20"/>
        </w:rPr>
      </w:pPr>
      <w:r w:rsidRPr="00615F13">
        <w:rPr>
          <w:sz w:val="20"/>
          <w:szCs w:val="20"/>
        </w:rPr>
        <w:t xml:space="preserve">-Serbest meslek sahibi ise vergi dairesinin </w:t>
      </w:r>
      <w:proofErr w:type="spellStart"/>
      <w:proofErr w:type="gramStart"/>
      <w:r w:rsidRPr="00615F13">
        <w:rPr>
          <w:sz w:val="20"/>
          <w:szCs w:val="20"/>
        </w:rPr>
        <w:t>adı,adresi</w:t>
      </w:r>
      <w:proofErr w:type="spellEnd"/>
      <w:proofErr w:type="gramEnd"/>
      <w:r w:rsidRPr="00615F13">
        <w:rPr>
          <w:sz w:val="20"/>
          <w:szCs w:val="20"/>
        </w:rPr>
        <w:t xml:space="preserve"> ve hesap numarası belirtilen , basit veya gerçek usulde vergiye bağlı olan mükelleflerin bir önceki yıla ait gelir vergisi matrahını gösteren belge,</w:t>
      </w:r>
    </w:p>
    <w:p w:rsidR="0080411B" w:rsidRPr="00615F13" w:rsidRDefault="0080411B" w:rsidP="0080411B">
      <w:pPr>
        <w:tabs>
          <w:tab w:val="left" w:pos="509"/>
        </w:tabs>
        <w:ind w:left="258" w:right="828"/>
        <w:rPr>
          <w:sz w:val="20"/>
          <w:szCs w:val="20"/>
        </w:rPr>
      </w:pPr>
      <w:r w:rsidRPr="00615F13">
        <w:rPr>
          <w:sz w:val="20"/>
          <w:szCs w:val="20"/>
        </w:rPr>
        <w:t>-Ücreti veya maaşlı çalışıyor ise muhasebe birimi veya ilgili kişi veya kurum ve kuruluşlardan alınacak aylar itibarıyla bir önceki yıla ait 12 aylık toplam gelirini gösteren</w:t>
      </w:r>
      <w:r w:rsidR="00AA2A8A" w:rsidRPr="00615F13">
        <w:rPr>
          <w:sz w:val="20"/>
          <w:szCs w:val="20"/>
        </w:rPr>
        <w:t xml:space="preserve"> belge dikkate alınarak gelirin </w:t>
      </w:r>
      <w:proofErr w:type="spellStart"/>
      <w:r w:rsidR="00AA2A8A" w:rsidRPr="00615F13">
        <w:rPr>
          <w:sz w:val="20"/>
          <w:szCs w:val="20"/>
        </w:rPr>
        <w:t>or</w:t>
      </w:r>
      <w:proofErr w:type="spellEnd"/>
      <w:r w:rsidR="00AA2A8A" w:rsidRPr="00615F13">
        <w:rPr>
          <w:sz w:val="20"/>
          <w:szCs w:val="20"/>
        </w:rPr>
        <w:t xml:space="preserve"> iki ayı bulmaması halinde on aylık geliri esas alınarak 12 ay üzerinden yıllık hesaplanacaktır.</w:t>
      </w:r>
    </w:p>
    <w:p w:rsidR="00AA2A8A" w:rsidRPr="00615F13" w:rsidRDefault="00AA2A8A" w:rsidP="0080411B">
      <w:pPr>
        <w:tabs>
          <w:tab w:val="left" w:pos="509"/>
        </w:tabs>
        <w:ind w:left="258" w:right="828"/>
        <w:rPr>
          <w:sz w:val="20"/>
          <w:szCs w:val="20"/>
        </w:rPr>
      </w:pPr>
      <w:r w:rsidRPr="00615F13">
        <w:rPr>
          <w:sz w:val="20"/>
          <w:szCs w:val="20"/>
        </w:rPr>
        <w:t xml:space="preserve">-Velinin ve eşinin bakmakla yükümlü olduğu anne ve babası ile ilgili tedavi yardımı </w:t>
      </w:r>
      <w:proofErr w:type="gramStart"/>
      <w:r w:rsidRPr="00615F13">
        <w:rPr>
          <w:sz w:val="20"/>
          <w:szCs w:val="20"/>
        </w:rPr>
        <w:t>beyannamesi ,varsa</w:t>
      </w:r>
      <w:proofErr w:type="gramEnd"/>
      <w:r w:rsidRPr="00615F13">
        <w:rPr>
          <w:sz w:val="20"/>
          <w:szCs w:val="20"/>
        </w:rPr>
        <w:t xml:space="preserve"> bakmakla yükümlü olduğu diğer şahıslarla ilgili mahkeme kararı örneği,</w:t>
      </w:r>
    </w:p>
    <w:p w:rsidR="00615F13" w:rsidRPr="00615F13" w:rsidRDefault="00615F13" w:rsidP="0080411B">
      <w:pPr>
        <w:tabs>
          <w:tab w:val="left" w:pos="509"/>
        </w:tabs>
        <w:ind w:left="258" w:right="828"/>
        <w:rPr>
          <w:sz w:val="20"/>
          <w:szCs w:val="20"/>
        </w:rPr>
      </w:pPr>
      <w:r w:rsidRPr="00615F13">
        <w:rPr>
          <w:sz w:val="20"/>
          <w:szCs w:val="20"/>
        </w:rPr>
        <w:t>-Veli emekli ise maaş aldığı bankadan alacağı imza ve mühürlü belge,</w:t>
      </w:r>
    </w:p>
    <w:p w:rsidR="00615F13" w:rsidRPr="00615F13" w:rsidRDefault="00615F13" w:rsidP="0080411B">
      <w:pPr>
        <w:tabs>
          <w:tab w:val="left" w:pos="509"/>
        </w:tabs>
        <w:ind w:left="258" w:right="828"/>
        <w:rPr>
          <w:sz w:val="20"/>
          <w:szCs w:val="20"/>
        </w:rPr>
      </w:pPr>
      <w:r w:rsidRPr="00615F13">
        <w:rPr>
          <w:sz w:val="20"/>
          <w:szCs w:val="20"/>
        </w:rPr>
        <w:t>-Veli çalışmıyorsa SGK (e-</w:t>
      </w:r>
      <w:proofErr w:type="gramStart"/>
      <w:r w:rsidRPr="00615F13">
        <w:rPr>
          <w:sz w:val="20"/>
          <w:szCs w:val="20"/>
        </w:rPr>
        <w:t>devletten  üzerinden</w:t>
      </w:r>
      <w:proofErr w:type="gramEnd"/>
      <w:r w:rsidRPr="00615F13">
        <w:rPr>
          <w:sz w:val="20"/>
          <w:szCs w:val="20"/>
        </w:rPr>
        <w:t>) gelirinin olmadığına dair çıktı,(Anne ev hanımı ise de)</w:t>
      </w:r>
    </w:p>
    <w:p w:rsidR="00AA2A8A" w:rsidRPr="00615F13" w:rsidRDefault="00AA2A8A" w:rsidP="0080411B">
      <w:pPr>
        <w:tabs>
          <w:tab w:val="left" w:pos="509"/>
        </w:tabs>
        <w:ind w:left="258" w:right="828"/>
        <w:rPr>
          <w:sz w:val="20"/>
          <w:szCs w:val="20"/>
        </w:rPr>
      </w:pPr>
      <w:r w:rsidRPr="00615F13">
        <w:rPr>
          <w:b/>
          <w:sz w:val="20"/>
          <w:szCs w:val="20"/>
        </w:rPr>
        <w:t>2</w:t>
      </w:r>
      <w:r w:rsidRPr="00615F13">
        <w:rPr>
          <w:sz w:val="20"/>
          <w:szCs w:val="20"/>
        </w:rPr>
        <w:t>.Nüfus kayıt örneği (e-devlet üzerinden alınacaktır.)</w:t>
      </w:r>
    </w:p>
    <w:p w:rsidR="0080411B" w:rsidRPr="00615F13" w:rsidRDefault="00615F13" w:rsidP="00615F13">
      <w:pPr>
        <w:tabs>
          <w:tab w:val="left" w:pos="509"/>
        </w:tabs>
        <w:ind w:left="258" w:right="828"/>
        <w:rPr>
          <w:sz w:val="20"/>
          <w:szCs w:val="20"/>
        </w:rPr>
      </w:pPr>
      <w:r w:rsidRPr="00615F13">
        <w:rPr>
          <w:b/>
          <w:sz w:val="20"/>
          <w:szCs w:val="20"/>
        </w:rPr>
        <w:t>3.</w:t>
      </w:r>
      <w:r w:rsidRPr="00615F13">
        <w:rPr>
          <w:sz w:val="20"/>
          <w:szCs w:val="20"/>
        </w:rPr>
        <w:t xml:space="preserve"> Velinin kontenjanla ilgili belgesi (varsa)</w:t>
      </w:r>
    </w:p>
    <w:p w:rsidR="00916936" w:rsidRPr="00615F13" w:rsidRDefault="00916936">
      <w:pPr>
        <w:rPr>
          <w:sz w:val="20"/>
          <w:szCs w:val="20"/>
        </w:rPr>
      </w:pPr>
      <w:bookmarkStart w:id="0" w:name="_GoBack"/>
      <w:bookmarkEnd w:id="0"/>
    </w:p>
    <w:sectPr w:rsidR="00916936" w:rsidRPr="00615F13" w:rsidSect="00615F13">
      <w:pgSz w:w="11906" w:h="16838"/>
      <w:pgMar w:top="1417" w:right="56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86720"/>
    <w:multiLevelType w:val="hybridMultilevel"/>
    <w:tmpl w:val="EB4C4BA4"/>
    <w:lvl w:ilvl="0" w:tplc="3CF4CC0A">
      <w:start w:val="1"/>
      <w:numFmt w:val="decimal"/>
      <w:lvlText w:val="%1."/>
      <w:lvlJc w:val="left"/>
      <w:pPr>
        <w:ind w:left="542" w:hanging="284"/>
      </w:pPr>
      <w:rPr>
        <w:rFonts w:ascii="Times New Roman" w:eastAsia="Times New Roman" w:hAnsi="Times New Roman" w:cs="Times New Roman" w:hint="default"/>
        <w:b/>
        <w:bCs/>
        <w:color w:val="2D74B5"/>
        <w:w w:val="100"/>
        <w:sz w:val="24"/>
        <w:szCs w:val="24"/>
        <w:lang w:val="tr-TR" w:eastAsia="en-US" w:bidi="ar-SA"/>
      </w:rPr>
    </w:lvl>
    <w:lvl w:ilvl="1" w:tplc="19CAB07E">
      <w:start w:val="1"/>
      <w:numFmt w:val="lowerLetter"/>
      <w:lvlText w:val="%2."/>
      <w:lvlJc w:val="left"/>
      <w:pPr>
        <w:ind w:left="542" w:hanging="284"/>
      </w:pPr>
      <w:rPr>
        <w:rFonts w:ascii="Times New Roman" w:eastAsia="Times New Roman" w:hAnsi="Times New Roman" w:cs="Times New Roman" w:hint="default"/>
        <w:b/>
        <w:bCs/>
        <w:color w:val="2D74B5"/>
        <w:w w:val="100"/>
        <w:sz w:val="24"/>
        <w:szCs w:val="24"/>
        <w:lang w:val="tr-TR" w:eastAsia="en-US" w:bidi="ar-SA"/>
      </w:rPr>
    </w:lvl>
    <w:lvl w:ilvl="2" w:tplc="57804FAC">
      <w:start w:val="1"/>
      <w:numFmt w:val="lowerRoman"/>
      <w:lvlText w:val="%3."/>
      <w:lvlJc w:val="left"/>
      <w:pPr>
        <w:ind w:left="825" w:hanging="248"/>
      </w:pPr>
      <w:rPr>
        <w:rFonts w:ascii="Times New Roman" w:eastAsia="Times New Roman" w:hAnsi="Times New Roman" w:cs="Times New Roman" w:hint="default"/>
        <w:b/>
        <w:bCs/>
        <w:color w:val="2D74B5"/>
        <w:w w:val="100"/>
        <w:sz w:val="24"/>
        <w:szCs w:val="24"/>
        <w:lang w:val="tr-TR" w:eastAsia="en-US" w:bidi="ar-SA"/>
      </w:rPr>
    </w:lvl>
    <w:lvl w:ilvl="3" w:tplc="0CFA1546">
      <w:numFmt w:val="bullet"/>
      <w:lvlText w:val="•"/>
      <w:lvlJc w:val="left"/>
      <w:pPr>
        <w:ind w:left="1987" w:hanging="248"/>
      </w:pPr>
      <w:rPr>
        <w:lang w:val="tr-TR" w:eastAsia="en-US" w:bidi="ar-SA"/>
      </w:rPr>
    </w:lvl>
    <w:lvl w:ilvl="4" w:tplc="6A8CD504">
      <w:numFmt w:val="bullet"/>
      <w:lvlText w:val="•"/>
      <w:lvlJc w:val="left"/>
      <w:pPr>
        <w:ind w:left="3154" w:hanging="248"/>
      </w:pPr>
      <w:rPr>
        <w:lang w:val="tr-TR" w:eastAsia="en-US" w:bidi="ar-SA"/>
      </w:rPr>
    </w:lvl>
    <w:lvl w:ilvl="5" w:tplc="8FD42632">
      <w:numFmt w:val="bullet"/>
      <w:lvlText w:val="•"/>
      <w:lvlJc w:val="left"/>
      <w:pPr>
        <w:ind w:left="4322" w:hanging="248"/>
      </w:pPr>
      <w:rPr>
        <w:lang w:val="tr-TR" w:eastAsia="en-US" w:bidi="ar-SA"/>
      </w:rPr>
    </w:lvl>
    <w:lvl w:ilvl="6" w:tplc="C294585A">
      <w:numFmt w:val="bullet"/>
      <w:lvlText w:val="•"/>
      <w:lvlJc w:val="left"/>
      <w:pPr>
        <w:ind w:left="5489" w:hanging="248"/>
      </w:pPr>
      <w:rPr>
        <w:lang w:val="tr-TR" w:eastAsia="en-US" w:bidi="ar-SA"/>
      </w:rPr>
    </w:lvl>
    <w:lvl w:ilvl="7" w:tplc="07EEA430">
      <w:numFmt w:val="bullet"/>
      <w:lvlText w:val="•"/>
      <w:lvlJc w:val="left"/>
      <w:pPr>
        <w:ind w:left="6657" w:hanging="248"/>
      </w:pPr>
      <w:rPr>
        <w:lang w:val="tr-TR" w:eastAsia="en-US" w:bidi="ar-SA"/>
      </w:rPr>
    </w:lvl>
    <w:lvl w:ilvl="8" w:tplc="5B58A0B0">
      <w:numFmt w:val="bullet"/>
      <w:lvlText w:val="•"/>
      <w:lvlJc w:val="left"/>
      <w:pPr>
        <w:ind w:left="7824" w:hanging="248"/>
      </w:pPr>
      <w:rPr>
        <w:lang w:val="tr-TR" w:eastAsia="en-US" w:bidi="ar-SA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082"/>
    <w:rsid w:val="00615F13"/>
    <w:rsid w:val="00673E20"/>
    <w:rsid w:val="0080411B"/>
    <w:rsid w:val="00916936"/>
    <w:rsid w:val="00940082"/>
    <w:rsid w:val="00AA2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1"/>
    <w:qFormat/>
    <w:rsid w:val="00916936"/>
    <w:pPr>
      <w:widowControl w:val="0"/>
      <w:autoSpaceDE w:val="0"/>
      <w:autoSpaceDN w:val="0"/>
      <w:spacing w:after="0" w:line="240" w:lineRule="auto"/>
      <w:ind w:left="258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940082"/>
    <w:rPr>
      <w:color w:val="0000FF" w:themeColor="hyperlink"/>
      <w:u w:val="single"/>
    </w:rPr>
  </w:style>
  <w:style w:type="character" w:customStyle="1" w:styleId="Balk1Char">
    <w:name w:val="Başlık 1 Char"/>
    <w:basedOn w:val="VarsaylanParagrafYazTipi"/>
    <w:link w:val="Balk1"/>
    <w:uiPriority w:val="1"/>
    <w:rsid w:val="00916936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916936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qFormat/>
    <w:rsid w:val="00916936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  <w:rsid w:val="0080411B"/>
    <w:pPr>
      <w:widowControl w:val="0"/>
      <w:autoSpaceDE w:val="0"/>
      <w:autoSpaceDN w:val="0"/>
      <w:spacing w:after="0" w:line="240" w:lineRule="auto"/>
      <w:ind w:left="258"/>
      <w:jc w:val="both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1"/>
    <w:qFormat/>
    <w:rsid w:val="00916936"/>
    <w:pPr>
      <w:widowControl w:val="0"/>
      <w:autoSpaceDE w:val="0"/>
      <w:autoSpaceDN w:val="0"/>
      <w:spacing w:after="0" w:line="240" w:lineRule="auto"/>
      <w:ind w:left="258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940082"/>
    <w:rPr>
      <w:color w:val="0000FF" w:themeColor="hyperlink"/>
      <w:u w:val="single"/>
    </w:rPr>
  </w:style>
  <w:style w:type="character" w:customStyle="1" w:styleId="Balk1Char">
    <w:name w:val="Başlık 1 Char"/>
    <w:basedOn w:val="VarsaylanParagrafYazTipi"/>
    <w:link w:val="Balk1"/>
    <w:uiPriority w:val="1"/>
    <w:rsid w:val="00916936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916936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qFormat/>
    <w:rsid w:val="00916936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  <w:rsid w:val="0080411B"/>
    <w:pPr>
      <w:widowControl w:val="0"/>
      <w:autoSpaceDE w:val="0"/>
      <w:autoSpaceDN w:val="0"/>
      <w:spacing w:after="0" w:line="240" w:lineRule="auto"/>
      <w:ind w:left="258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30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eb.gov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b.gov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ronaldinho424</dc:creator>
  <cp:lastModifiedBy>ronaldinho424</cp:lastModifiedBy>
  <cp:revision>4</cp:revision>
  <dcterms:created xsi:type="dcterms:W3CDTF">2024-02-07T07:08:00Z</dcterms:created>
  <dcterms:modified xsi:type="dcterms:W3CDTF">2024-02-07T08:13:00Z</dcterms:modified>
</cp:coreProperties>
</file>